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CAF" w:rsidRPr="00F21CAF" w:rsidRDefault="00F21CAF" w:rsidP="008943D3">
      <w:pPr>
        <w:widowControl w:val="0"/>
        <w:autoSpaceDE w:val="0"/>
        <w:autoSpaceDN w:val="0"/>
        <w:adjustRightInd w:val="0"/>
        <w:rPr>
          <w:rFonts w:ascii="Arial" w:hAnsi="Arial" w:cs="@Arial Unicode MS"/>
          <w:b/>
          <w:color w:val="548DD4" w:themeColor="text2" w:themeTint="99"/>
          <w:sz w:val="48"/>
          <w:lang w:val="en-US"/>
        </w:rPr>
      </w:pPr>
      <w:r w:rsidRPr="00F21CAF">
        <w:rPr>
          <w:rFonts w:ascii="Arial" w:hAnsi="Arial" w:cs="@Arial Unicode MS"/>
          <w:b/>
          <w:color w:val="548DD4" w:themeColor="text2" w:themeTint="99"/>
          <w:sz w:val="48"/>
          <w:lang w:val="en-US"/>
        </w:rPr>
        <w:t>CONTENTS</w:t>
      </w:r>
    </w:p>
    <w:p w:rsidR="00F21CAF" w:rsidRDefault="00F21CAF" w:rsidP="008943D3">
      <w:pPr>
        <w:widowControl w:val="0"/>
        <w:autoSpaceDE w:val="0"/>
        <w:autoSpaceDN w:val="0"/>
        <w:adjustRightInd w:val="0"/>
        <w:rPr>
          <w:rFonts w:ascii="Arial" w:hAnsi="Arial" w:cs="@Arial Unicode MS"/>
          <w:lang w:val="en-US"/>
        </w:rPr>
      </w:pPr>
    </w:p>
    <w:p w:rsidR="008943D3" w:rsidRDefault="004142AE" w:rsidP="008943D3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color w:val="2A2A2A"/>
          <w:sz w:val="30"/>
          <w:szCs w:val="30"/>
          <w:lang w:val="en-US"/>
        </w:rPr>
      </w:pPr>
      <w:hyperlink r:id="rId4" w:history="1">
        <w:r w:rsidR="008943D3">
          <w:rPr>
            <w:rFonts w:ascii="Arial" w:hAnsi="Arial" w:cs="Arial"/>
            <w:b/>
            <w:bCs/>
            <w:color w:val="186CC6"/>
            <w:sz w:val="32"/>
            <w:szCs w:val="32"/>
            <w:lang w:val="en-US"/>
          </w:rPr>
          <w:t>Foreword</w:t>
        </w:r>
        <w:r w:rsidR="008943D3">
          <w:rPr>
            <w:rFonts w:ascii="Arial" w:hAnsi="Arial" w:cs="Arial"/>
            <w:color w:val="186CC6"/>
            <w:sz w:val="32"/>
            <w:szCs w:val="32"/>
            <w:lang w:val="en-US"/>
          </w:rPr>
          <w:t xml:space="preserve"> </w:t>
        </w:r>
      </w:hyperlink>
      <w:r w:rsidR="008943D3">
        <w:rPr>
          <w:rFonts w:ascii="Arial" w:hAnsi="Arial" w:cs="Arial"/>
          <w:color w:val="2A2A2A"/>
          <w:sz w:val="32"/>
          <w:szCs w:val="32"/>
          <w:lang w:val="en-US"/>
        </w:rPr>
        <w:t xml:space="preserve">(pp. </w:t>
      </w:r>
      <w:proofErr w:type="spellStart"/>
      <w:r w:rsidR="008943D3">
        <w:rPr>
          <w:rFonts w:ascii="Arial" w:hAnsi="Arial" w:cs="Arial"/>
          <w:color w:val="2A2A2A"/>
          <w:sz w:val="32"/>
          <w:szCs w:val="32"/>
          <w:lang w:val="en-US"/>
        </w:rPr>
        <w:t>i</w:t>
      </w:r>
      <w:proofErr w:type="spellEnd"/>
      <w:r w:rsidR="008943D3">
        <w:rPr>
          <w:rFonts w:ascii="Arial" w:hAnsi="Arial" w:cs="Arial"/>
          <w:color w:val="2A2A2A"/>
          <w:sz w:val="32"/>
          <w:szCs w:val="32"/>
          <w:lang w:val="en-US"/>
        </w:rPr>
        <w:t>-ix)</w:t>
      </w:r>
    </w:p>
    <w:p w:rsidR="008943D3" w:rsidRDefault="008943D3" w:rsidP="008943D3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color w:val="2A2A2A"/>
          <w:sz w:val="30"/>
          <w:szCs w:val="30"/>
          <w:lang w:val="en-US"/>
        </w:rPr>
      </w:pPr>
      <w:r>
        <w:rPr>
          <w:rFonts w:ascii="Arial" w:hAnsi="Arial" w:cs="Arial"/>
          <w:i/>
          <w:iCs/>
          <w:color w:val="2A2A2A"/>
          <w:sz w:val="32"/>
          <w:szCs w:val="32"/>
          <w:lang w:val="en-US"/>
        </w:rPr>
        <w:t>Jacqueline Delong</w:t>
      </w:r>
    </w:p>
    <w:p w:rsidR="008943D3" w:rsidRDefault="008943D3" w:rsidP="008943D3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color w:val="2A2A2A"/>
          <w:sz w:val="30"/>
          <w:szCs w:val="30"/>
          <w:lang w:val="en-US"/>
        </w:rPr>
      </w:pPr>
      <w:r>
        <w:rPr>
          <w:rFonts w:ascii="Arial" w:hAnsi="Arial" w:cs="Arial"/>
          <w:color w:val="2A2A2A"/>
          <w:sz w:val="32"/>
          <w:szCs w:val="32"/>
          <w:lang w:val="en-US"/>
        </w:rPr>
        <w:t> </w:t>
      </w:r>
    </w:p>
    <w:p w:rsidR="008943D3" w:rsidRDefault="00263E47" w:rsidP="008943D3">
      <w:pPr>
        <w:pStyle w:val="Normal1"/>
        <w:spacing w:line="240" w:lineRule="auto"/>
        <w:rPr>
          <w:color w:val="2A2A2A"/>
          <w:sz w:val="32"/>
          <w:szCs w:val="32"/>
          <w:lang w:val="en-US"/>
        </w:rPr>
      </w:pPr>
      <w:hyperlink r:id="rId5" w:history="1">
        <w:r w:rsidR="008943D3" w:rsidRPr="00263E47">
          <w:rPr>
            <w:rStyle w:val="Hyperlink"/>
            <w:b/>
            <w:sz w:val="32"/>
            <w:szCs w:val="32"/>
          </w:rPr>
          <w:t>Our Living-Educational-Theory of Knowledge-translation: Improving Practice, Influencing Learners, and Contributing to the Professional Knowledge Base of Nursing</w:t>
        </w:r>
        <w:r w:rsidR="002732F3" w:rsidRPr="00263E47">
          <w:rPr>
            <w:rStyle w:val="Hyperlink"/>
            <w:b/>
            <w:sz w:val="32"/>
            <w:szCs w:val="32"/>
          </w:rPr>
          <w:t>.</w:t>
        </w:r>
      </w:hyperlink>
      <w:r w:rsidR="008943D3">
        <w:rPr>
          <w:b/>
          <w:color w:val="548DD4" w:themeColor="text2" w:themeTint="99"/>
          <w:sz w:val="32"/>
          <w:szCs w:val="32"/>
        </w:rPr>
        <w:t xml:space="preserve"> </w:t>
      </w:r>
      <w:r w:rsidR="008943D3">
        <w:rPr>
          <w:color w:val="2A2A2A"/>
          <w:sz w:val="32"/>
          <w:szCs w:val="32"/>
          <w:lang w:val="en-US"/>
        </w:rPr>
        <w:t>(</w:t>
      </w:r>
      <w:proofErr w:type="gramStart"/>
      <w:r w:rsidR="008943D3">
        <w:rPr>
          <w:color w:val="2A2A2A"/>
          <w:sz w:val="32"/>
          <w:szCs w:val="32"/>
          <w:lang w:val="en-US"/>
        </w:rPr>
        <w:t>pp</w:t>
      </w:r>
      <w:proofErr w:type="gramEnd"/>
      <w:r w:rsidR="008943D3">
        <w:rPr>
          <w:color w:val="2A2A2A"/>
          <w:sz w:val="32"/>
          <w:szCs w:val="32"/>
          <w:lang w:val="en-US"/>
        </w:rPr>
        <w:t>. 1-31)</w:t>
      </w:r>
    </w:p>
    <w:p w:rsidR="008943D3" w:rsidRDefault="008943D3" w:rsidP="008943D3">
      <w:pPr>
        <w:pStyle w:val="Normal1"/>
        <w:spacing w:line="240" w:lineRule="auto"/>
        <w:rPr>
          <w:color w:val="2A2A2A"/>
          <w:sz w:val="32"/>
          <w:szCs w:val="32"/>
          <w:lang w:val="en-US"/>
        </w:rPr>
      </w:pPr>
      <w:r>
        <w:rPr>
          <w:i/>
          <w:iCs/>
          <w:color w:val="2A2A2A"/>
          <w:sz w:val="32"/>
          <w:szCs w:val="32"/>
          <w:lang w:val="en-US"/>
        </w:rPr>
        <w:t>Jan Johnston &amp; Jennifer Vickers-</w:t>
      </w:r>
      <w:proofErr w:type="spellStart"/>
      <w:r>
        <w:rPr>
          <w:i/>
          <w:iCs/>
          <w:color w:val="2A2A2A"/>
          <w:sz w:val="32"/>
          <w:szCs w:val="32"/>
          <w:lang w:val="en-US"/>
        </w:rPr>
        <w:t>Manzin</w:t>
      </w:r>
      <w:proofErr w:type="spellEnd"/>
      <w:r>
        <w:rPr>
          <w:color w:val="2A2A2A"/>
          <w:sz w:val="32"/>
          <w:szCs w:val="32"/>
          <w:lang w:val="en-US"/>
        </w:rPr>
        <w:t> </w:t>
      </w:r>
    </w:p>
    <w:p w:rsidR="008943D3" w:rsidRPr="008943D3" w:rsidRDefault="008943D3" w:rsidP="008943D3">
      <w:pPr>
        <w:pStyle w:val="Normal1"/>
        <w:spacing w:line="240" w:lineRule="auto"/>
        <w:rPr>
          <w:b/>
          <w:color w:val="548DD4" w:themeColor="text2" w:themeTint="99"/>
          <w:sz w:val="32"/>
          <w:szCs w:val="32"/>
        </w:rPr>
      </w:pPr>
    </w:p>
    <w:p w:rsidR="008943D3" w:rsidRDefault="00263E47" w:rsidP="008943D3">
      <w:pPr>
        <w:pStyle w:val="Normal1"/>
        <w:spacing w:line="240" w:lineRule="auto"/>
        <w:rPr>
          <w:color w:val="2A2A2A"/>
          <w:sz w:val="32"/>
          <w:szCs w:val="32"/>
          <w:lang w:val="en-US"/>
        </w:rPr>
      </w:pPr>
      <w:hyperlink r:id="rId6" w:history="1">
        <w:r w:rsidR="008943D3" w:rsidRPr="00263E47">
          <w:rPr>
            <w:rStyle w:val="Hyperlink"/>
            <w:b/>
            <w:sz w:val="32"/>
          </w:rPr>
          <w:t>Transcending colonising influences across cultural boundaries: a continuing journey of lifelong learning.</w:t>
        </w:r>
      </w:hyperlink>
      <w:r w:rsidR="008943D3">
        <w:rPr>
          <w:b/>
          <w:color w:val="548DD4" w:themeColor="text2" w:themeTint="99"/>
          <w:sz w:val="32"/>
        </w:rPr>
        <w:t xml:space="preserve"> </w:t>
      </w:r>
      <w:r w:rsidR="009C3B74">
        <w:rPr>
          <w:color w:val="2A2A2A"/>
          <w:sz w:val="32"/>
          <w:szCs w:val="32"/>
          <w:lang w:val="en-US"/>
        </w:rPr>
        <w:t>(</w:t>
      </w:r>
      <w:proofErr w:type="gramStart"/>
      <w:r w:rsidR="009C3B74">
        <w:rPr>
          <w:color w:val="2A2A2A"/>
          <w:sz w:val="32"/>
          <w:szCs w:val="32"/>
          <w:lang w:val="en-US"/>
        </w:rPr>
        <w:t>pp</w:t>
      </w:r>
      <w:proofErr w:type="gramEnd"/>
      <w:r w:rsidR="009C3B74">
        <w:rPr>
          <w:color w:val="2A2A2A"/>
          <w:sz w:val="32"/>
          <w:szCs w:val="32"/>
          <w:lang w:val="en-US"/>
        </w:rPr>
        <w:t>. 32-53</w:t>
      </w:r>
      <w:r w:rsidR="008943D3">
        <w:rPr>
          <w:color w:val="2A2A2A"/>
          <w:sz w:val="32"/>
          <w:szCs w:val="32"/>
          <w:lang w:val="en-US"/>
        </w:rPr>
        <w:t>)</w:t>
      </w:r>
    </w:p>
    <w:p w:rsidR="008943D3" w:rsidRDefault="008943D3" w:rsidP="008943D3">
      <w:pPr>
        <w:pStyle w:val="Normal1"/>
        <w:spacing w:line="240" w:lineRule="auto"/>
        <w:rPr>
          <w:color w:val="2A2A2A"/>
          <w:sz w:val="32"/>
          <w:szCs w:val="32"/>
          <w:lang w:val="en-US"/>
        </w:rPr>
      </w:pPr>
      <w:r>
        <w:rPr>
          <w:i/>
          <w:iCs/>
          <w:color w:val="2A2A2A"/>
          <w:sz w:val="32"/>
          <w:szCs w:val="32"/>
          <w:lang w:val="en-US"/>
        </w:rPr>
        <w:t>Je Kan Adler-Collins</w:t>
      </w:r>
      <w:r>
        <w:rPr>
          <w:color w:val="2A2A2A"/>
          <w:sz w:val="32"/>
          <w:szCs w:val="32"/>
          <w:lang w:val="en-US"/>
        </w:rPr>
        <w:t> </w:t>
      </w:r>
    </w:p>
    <w:p w:rsidR="008943D3" w:rsidRPr="008943D3" w:rsidRDefault="008943D3" w:rsidP="008943D3">
      <w:pPr>
        <w:pStyle w:val="Normal1"/>
        <w:spacing w:line="240" w:lineRule="auto"/>
        <w:rPr>
          <w:b/>
          <w:color w:val="548DD4" w:themeColor="text2" w:themeTint="99"/>
          <w:sz w:val="32"/>
        </w:rPr>
      </w:pPr>
    </w:p>
    <w:p w:rsidR="008943D3" w:rsidRDefault="00263E47" w:rsidP="008943D3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color w:val="2A2A2A"/>
          <w:sz w:val="30"/>
          <w:szCs w:val="30"/>
          <w:lang w:val="en-US"/>
        </w:rPr>
      </w:pPr>
      <w:hyperlink r:id="rId7" w:history="1">
        <w:r w:rsidR="002732F3" w:rsidRPr="00263E47">
          <w:rPr>
            <w:rStyle w:val="Hyperlink"/>
            <w:rFonts w:ascii="Arial" w:hAnsi="Arial" w:cs="Verdana"/>
            <w:b/>
            <w:sz w:val="32"/>
            <w:szCs w:val="28"/>
            <w:lang w:val="en-US"/>
          </w:rPr>
          <w:t>Looking over the conceptual horizon: a living theory of practice.</w:t>
        </w:r>
      </w:hyperlink>
      <w:r w:rsidR="009C3B74">
        <w:rPr>
          <w:rFonts w:ascii="Arial" w:hAnsi="Arial" w:cs="Arial"/>
          <w:color w:val="2A2A2A"/>
          <w:sz w:val="32"/>
          <w:szCs w:val="32"/>
          <w:lang w:val="en-US"/>
        </w:rPr>
        <w:t xml:space="preserve"> (</w:t>
      </w:r>
      <w:proofErr w:type="gramStart"/>
      <w:r w:rsidR="009C3B74">
        <w:rPr>
          <w:rFonts w:ascii="Arial" w:hAnsi="Arial" w:cs="Arial"/>
          <w:color w:val="2A2A2A"/>
          <w:sz w:val="32"/>
          <w:szCs w:val="32"/>
          <w:lang w:val="en-US"/>
        </w:rPr>
        <w:t>pp</w:t>
      </w:r>
      <w:proofErr w:type="gramEnd"/>
      <w:r w:rsidR="009C3B74">
        <w:rPr>
          <w:rFonts w:ascii="Arial" w:hAnsi="Arial" w:cs="Arial"/>
          <w:color w:val="2A2A2A"/>
          <w:sz w:val="32"/>
          <w:szCs w:val="32"/>
          <w:lang w:val="en-US"/>
        </w:rPr>
        <w:t>. 54</w:t>
      </w:r>
      <w:r w:rsidR="002732F3">
        <w:rPr>
          <w:rFonts w:ascii="Arial" w:hAnsi="Arial" w:cs="Arial"/>
          <w:color w:val="2A2A2A"/>
          <w:sz w:val="32"/>
          <w:szCs w:val="32"/>
          <w:lang w:val="en-US"/>
        </w:rPr>
        <w:t>-</w:t>
      </w:r>
      <w:r w:rsidR="00423F56">
        <w:rPr>
          <w:rFonts w:ascii="Arial" w:hAnsi="Arial" w:cs="Arial"/>
          <w:color w:val="2A2A2A"/>
          <w:sz w:val="32"/>
          <w:szCs w:val="32"/>
          <w:lang w:val="en-US"/>
        </w:rPr>
        <w:t>73</w:t>
      </w:r>
      <w:r w:rsidR="008943D3">
        <w:rPr>
          <w:rFonts w:ascii="Arial" w:hAnsi="Arial" w:cs="Arial"/>
          <w:color w:val="2A2A2A"/>
          <w:sz w:val="32"/>
          <w:szCs w:val="32"/>
          <w:lang w:val="en-US"/>
        </w:rPr>
        <w:t>)</w:t>
      </w:r>
    </w:p>
    <w:p w:rsidR="008943D3" w:rsidRPr="002732F3" w:rsidRDefault="002732F3" w:rsidP="008943D3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color w:val="31849B" w:themeColor="accent5" w:themeShade="BF"/>
          <w:sz w:val="30"/>
          <w:szCs w:val="30"/>
          <w:lang w:val="en-US"/>
        </w:rPr>
      </w:pPr>
      <w:r>
        <w:rPr>
          <w:rFonts w:ascii="Arial" w:hAnsi="Arial" w:cs="Arial"/>
          <w:i/>
          <w:iCs/>
          <w:color w:val="2A2A2A"/>
          <w:sz w:val="32"/>
          <w:szCs w:val="32"/>
          <w:lang w:val="en-US"/>
        </w:rPr>
        <w:t xml:space="preserve">Liz </w:t>
      </w:r>
      <w:proofErr w:type="spellStart"/>
      <w:r>
        <w:rPr>
          <w:rFonts w:ascii="Arial" w:hAnsi="Arial" w:cs="Arial"/>
          <w:i/>
          <w:iCs/>
          <w:color w:val="2A2A2A"/>
          <w:sz w:val="32"/>
          <w:szCs w:val="32"/>
          <w:lang w:val="en-US"/>
        </w:rPr>
        <w:t>Wolvaadt</w:t>
      </w:r>
      <w:proofErr w:type="spellEnd"/>
    </w:p>
    <w:p w:rsidR="008943D3" w:rsidRDefault="008943D3" w:rsidP="008943D3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color w:val="2A2A2A"/>
          <w:sz w:val="30"/>
          <w:szCs w:val="30"/>
          <w:lang w:val="en-US"/>
        </w:rPr>
      </w:pPr>
      <w:r>
        <w:rPr>
          <w:rFonts w:ascii="Arial" w:hAnsi="Arial" w:cs="Arial"/>
          <w:color w:val="2A2A2A"/>
          <w:sz w:val="32"/>
          <w:szCs w:val="32"/>
          <w:lang w:val="en-US"/>
        </w:rPr>
        <w:t> </w:t>
      </w:r>
    </w:p>
    <w:p w:rsidR="008943D3" w:rsidRPr="002732F3" w:rsidRDefault="00263E47" w:rsidP="002732F3">
      <w:pPr>
        <w:rPr>
          <w:rFonts w:ascii="Arial" w:eastAsia="Calibri" w:hAnsi="Arial" w:cs="Calibri"/>
          <w:b/>
          <w:bCs/>
          <w:color w:val="548DD4" w:themeColor="text2" w:themeTint="99"/>
          <w:sz w:val="32"/>
          <w:szCs w:val="28"/>
        </w:rPr>
      </w:pPr>
      <w:hyperlink r:id="rId8" w:history="1">
        <w:r w:rsidR="002732F3" w:rsidRPr="00263E47">
          <w:rPr>
            <w:rStyle w:val="Hyperlink"/>
            <w:rFonts w:ascii="Arial" w:eastAsia="Calibri" w:hAnsi="Arial" w:cs="Calibri"/>
            <w:b/>
            <w:bCs/>
            <w:i/>
            <w:iCs/>
            <w:sz w:val="32"/>
            <w:szCs w:val="28"/>
            <w:lang w:val="en-US"/>
          </w:rPr>
          <w:t xml:space="preserve">Moving on Up!  </w:t>
        </w:r>
        <w:r w:rsidR="002732F3" w:rsidRPr="00263E47">
          <w:rPr>
            <w:rStyle w:val="Hyperlink"/>
            <w:rFonts w:ascii="Arial" w:eastAsia="Calibri" w:hAnsi="Arial" w:cs="Calibri"/>
            <w:b/>
            <w:bCs/>
            <w:sz w:val="32"/>
            <w:szCs w:val="28"/>
            <w:lang w:val="en-US"/>
          </w:rPr>
          <w:t xml:space="preserve">Therapeutic movement for postnatal anxiety and depression:  Finding significance through </w:t>
        </w:r>
        <w:proofErr w:type="spellStart"/>
        <w:r w:rsidR="002732F3" w:rsidRPr="00263E47">
          <w:rPr>
            <w:rStyle w:val="Hyperlink"/>
            <w:rFonts w:ascii="Arial" w:eastAsia="Calibri" w:hAnsi="Arial" w:cs="Calibri"/>
            <w:b/>
            <w:bCs/>
            <w:sz w:val="32"/>
            <w:szCs w:val="28"/>
            <w:lang w:val="en-US"/>
          </w:rPr>
          <w:t>alongsideness</w:t>
        </w:r>
        <w:proofErr w:type="spellEnd"/>
        <w:r w:rsidR="002732F3" w:rsidRPr="00263E47">
          <w:rPr>
            <w:rStyle w:val="Hyperlink"/>
            <w:rFonts w:ascii="Arial" w:eastAsia="Calibri" w:hAnsi="Arial" w:cs="Calibri"/>
            <w:b/>
            <w:bCs/>
            <w:sz w:val="32"/>
            <w:szCs w:val="28"/>
            <w:lang w:val="en-US"/>
          </w:rPr>
          <w:t>, enquiring collaboratively and living theory action research in health visiting?</w:t>
        </w:r>
      </w:hyperlink>
      <w:r w:rsidR="002732F3">
        <w:rPr>
          <w:rFonts w:ascii="Arial" w:eastAsia="Calibri" w:hAnsi="Arial" w:cs="Calibri"/>
          <w:b/>
          <w:bCs/>
          <w:color w:val="548DD4" w:themeColor="text2" w:themeTint="99"/>
          <w:sz w:val="32"/>
          <w:szCs w:val="28"/>
        </w:rPr>
        <w:t xml:space="preserve"> </w:t>
      </w:r>
      <w:r w:rsidR="002732F3">
        <w:rPr>
          <w:rFonts w:ascii="Arial" w:hAnsi="Arial" w:cs="Arial"/>
          <w:color w:val="2A2A2A"/>
          <w:sz w:val="32"/>
          <w:szCs w:val="32"/>
          <w:lang w:val="en-US"/>
        </w:rPr>
        <w:t>(</w:t>
      </w:r>
      <w:proofErr w:type="gramStart"/>
      <w:r w:rsidR="002732F3">
        <w:rPr>
          <w:rFonts w:ascii="Arial" w:hAnsi="Arial" w:cs="Arial"/>
          <w:color w:val="2A2A2A"/>
          <w:sz w:val="32"/>
          <w:szCs w:val="32"/>
          <w:lang w:val="en-US"/>
        </w:rPr>
        <w:t>pp</w:t>
      </w:r>
      <w:proofErr w:type="gramEnd"/>
      <w:r w:rsidR="002732F3">
        <w:rPr>
          <w:rFonts w:ascii="Arial" w:hAnsi="Arial" w:cs="Arial"/>
          <w:color w:val="2A2A2A"/>
          <w:sz w:val="32"/>
          <w:szCs w:val="32"/>
          <w:lang w:val="en-US"/>
        </w:rPr>
        <w:t xml:space="preserve">. </w:t>
      </w:r>
      <w:r w:rsidR="00423F56">
        <w:rPr>
          <w:rFonts w:ascii="Arial" w:hAnsi="Arial" w:cs="Arial"/>
          <w:color w:val="2A2A2A"/>
          <w:sz w:val="32"/>
          <w:szCs w:val="32"/>
          <w:lang w:val="en-US"/>
        </w:rPr>
        <w:t>74</w:t>
      </w:r>
      <w:r w:rsidR="0036114D">
        <w:rPr>
          <w:rFonts w:ascii="Arial" w:hAnsi="Arial" w:cs="Arial"/>
          <w:color w:val="2A2A2A"/>
          <w:sz w:val="32"/>
          <w:szCs w:val="32"/>
          <w:lang w:val="en-US"/>
        </w:rPr>
        <w:t>-1</w:t>
      </w:r>
      <w:r w:rsidR="00423F56">
        <w:rPr>
          <w:rFonts w:ascii="Arial" w:hAnsi="Arial" w:cs="Arial"/>
          <w:color w:val="2A2A2A"/>
          <w:sz w:val="32"/>
          <w:szCs w:val="32"/>
          <w:lang w:val="en-US"/>
        </w:rPr>
        <w:t>01</w:t>
      </w:r>
    </w:p>
    <w:p w:rsidR="002732F3" w:rsidRDefault="002732F3" w:rsidP="008943D3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2A2A2A"/>
          <w:sz w:val="32"/>
          <w:szCs w:val="32"/>
          <w:lang w:val="en-US"/>
        </w:rPr>
      </w:pPr>
      <w:r>
        <w:rPr>
          <w:rFonts w:ascii="Arial" w:hAnsi="Arial" w:cs="Arial"/>
          <w:i/>
          <w:iCs/>
          <w:color w:val="2A2A2A"/>
          <w:sz w:val="32"/>
          <w:szCs w:val="32"/>
          <w:lang w:val="en-US"/>
        </w:rPr>
        <w:t>Robyn Pound</w:t>
      </w:r>
    </w:p>
    <w:p w:rsidR="008943D3" w:rsidRDefault="008943D3" w:rsidP="008943D3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color w:val="2A2A2A"/>
          <w:sz w:val="30"/>
          <w:szCs w:val="30"/>
          <w:lang w:val="en-US"/>
        </w:rPr>
      </w:pPr>
      <w:r>
        <w:rPr>
          <w:rFonts w:ascii="Arial" w:hAnsi="Arial" w:cs="Arial"/>
          <w:color w:val="2A2A2A"/>
          <w:sz w:val="32"/>
          <w:szCs w:val="32"/>
          <w:lang w:val="en-US"/>
        </w:rPr>
        <w:t> </w:t>
      </w:r>
    </w:p>
    <w:p w:rsidR="008943D3" w:rsidRPr="002732F3" w:rsidRDefault="00263E47" w:rsidP="002732F3">
      <w:pPr>
        <w:rPr>
          <w:rFonts w:ascii="Arial" w:hAnsi="Arial" w:cs="Arial"/>
          <w:b/>
          <w:color w:val="548DD4" w:themeColor="text2" w:themeTint="99"/>
          <w:sz w:val="32"/>
          <w:szCs w:val="32"/>
        </w:rPr>
      </w:pPr>
      <w:hyperlink r:id="rId9" w:history="1">
        <w:r w:rsidR="002732F3" w:rsidRPr="00263E47">
          <w:rPr>
            <w:rStyle w:val="Hyperlink"/>
            <w:rFonts w:ascii="Arial" w:hAnsi="Arial" w:cs="Arial"/>
            <w:b/>
            <w:sz w:val="32"/>
            <w:szCs w:val="32"/>
          </w:rPr>
          <w:t>Living Global Citizenship: A New Pedagogy for Citizenship Education.</w:t>
        </w:r>
      </w:hyperlink>
      <w:r w:rsidR="002732F3">
        <w:rPr>
          <w:rFonts w:ascii="Arial" w:hAnsi="Arial" w:cs="Arial"/>
          <w:b/>
          <w:color w:val="548DD4" w:themeColor="text2" w:themeTint="99"/>
          <w:sz w:val="32"/>
          <w:szCs w:val="32"/>
        </w:rPr>
        <w:t xml:space="preserve"> </w:t>
      </w:r>
      <w:r w:rsidR="002732F3">
        <w:rPr>
          <w:rFonts w:ascii="Arial" w:hAnsi="Arial" w:cs="Arial"/>
          <w:color w:val="2A2A2A"/>
          <w:sz w:val="32"/>
          <w:szCs w:val="32"/>
          <w:lang w:val="en-US"/>
        </w:rPr>
        <w:t>(</w:t>
      </w:r>
      <w:proofErr w:type="gramStart"/>
      <w:r w:rsidR="002732F3">
        <w:rPr>
          <w:rFonts w:ascii="Arial" w:hAnsi="Arial" w:cs="Arial"/>
          <w:color w:val="2A2A2A"/>
          <w:sz w:val="32"/>
          <w:szCs w:val="32"/>
          <w:lang w:val="en-US"/>
        </w:rPr>
        <w:t>pp</w:t>
      </w:r>
      <w:proofErr w:type="gramEnd"/>
      <w:r w:rsidR="002732F3">
        <w:rPr>
          <w:rFonts w:ascii="Arial" w:hAnsi="Arial" w:cs="Arial"/>
          <w:color w:val="2A2A2A"/>
          <w:sz w:val="32"/>
          <w:szCs w:val="32"/>
          <w:lang w:val="en-US"/>
        </w:rPr>
        <w:t>.</w:t>
      </w:r>
      <w:r w:rsidR="00936828">
        <w:rPr>
          <w:rFonts w:ascii="Arial" w:hAnsi="Arial" w:cs="Arial"/>
          <w:color w:val="2A2A2A"/>
          <w:sz w:val="32"/>
          <w:szCs w:val="32"/>
          <w:lang w:val="en-US"/>
        </w:rPr>
        <w:t xml:space="preserve"> 102</w:t>
      </w:r>
      <w:r w:rsidR="00423F56">
        <w:rPr>
          <w:rFonts w:ascii="Arial" w:hAnsi="Arial" w:cs="Arial"/>
          <w:color w:val="2A2A2A"/>
          <w:sz w:val="32"/>
          <w:szCs w:val="32"/>
          <w:lang w:val="en-US"/>
        </w:rPr>
        <w:t>-118</w:t>
      </w:r>
      <w:r w:rsidR="002732F3">
        <w:rPr>
          <w:rFonts w:ascii="Arial" w:hAnsi="Arial" w:cs="Arial"/>
          <w:color w:val="2A2A2A"/>
          <w:sz w:val="32"/>
          <w:szCs w:val="32"/>
          <w:lang w:val="en-US"/>
        </w:rPr>
        <w:t xml:space="preserve"> </w:t>
      </w:r>
      <w:r w:rsidR="008943D3">
        <w:rPr>
          <w:rFonts w:ascii="Arial" w:hAnsi="Arial" w:cs="Arial"/>
          <w:color w:val="2A2A2A"/>
          <w:sz w:val="32"/>
          <w:szCs w:val="32"/>
          <w:lang w:val="en-US"/>
        </w:rPr>
        <w:t>)</w:t>
      </w:r>
    </w:p>
    <w:p w:rsidR="002732F3" w:rsidRDefault="002732F3" w:rsidP="008943D3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2A2A2A"/>
          <w:sz w:val="32"/>
          <w:szCs w:val="32"/>
          <w:lang w:val="en-US"/>
        </w:rPr>
      </w:pPr>
      <w:r>
        <w:rPr>
          <w:rFonts w:ascii="Arial" w:hAnsi="Arial" w:cs="Arial"/>
          <w:i/>
          <w:iCs/>
          <w:color w:val="2A2A2A"/>
          <w:sz w:val="32"/>
          <w:szCs w:val="32"/>
          <w:lang w:val="en-US"/>
        </w:rPr>
        <w:t>Mark Potts</w:t>
      </w:r>
    </w:p>
    <w:p w:rsidR="0004456F" w:rsidRDefault="008943D3" w:rsidP="0004456F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color w:val="2A2A2A"/>
          <w:sz w:val="30"/>
          <w:szCs w:val="30"/>
          <w:lang w:val="en-US"/>
        </w:rPr>
      </w:pPr>
      <w:r>
        <w:rPr>
          <w:rFonts w:ascii="Helvetica Neue Light" w:hAnsi="Helvetica Neue Light" w:cs="Helvetica Neue Light"/>
          <w:color w:val="2A2A2A"/>
          <w:sz w:val="30"/>
          <w:szCs w:val="30"/>
          <w:lang w:val="en-US"/>
        </w:rPr>
        <w:t> </w:t>
      </w:r>
    </w:p>
    <w:p w:rsidR="00295B0C" w:rsidRPr="002F7458" w:rsidRDefault="00263E47" w:rsidP="00295B0C">
      <w:pPr>
        <w:rPr>
          <w:rFonts w:ascii="Arial" w:eastAsia="Calibri" w:hAnsi="Arial" w:cs="Calibri"/>
          <w:b/>
          <w:i/>
          <w:color w:val="4F81BD" w:themeColor="accent1"/>
          <w:sz w:val="32"/>
        </w:rPr>
      </w:pPr>
      <w:hyperlink r:id="rId10" w:history="1">
        <w:r w:rsidR="0004456F" w:rsidRPr="00263E47">
          <w:rPr>
            <w:rStyle w:val="Hyperlink"/>
            <w:rFonts w:ascii="Arial" w:hAnsi="Arial" w:cs="Arial"/>
            <w:b/>
            <w:bCs/>
            <w:sz w:val="32"/>
            <w:szCs w:val="32"/>
            <w:lang w:val="en-US"/>
          </w:rPr>
          <w:t xml:space="preserve">Review of </w:t>
        </w:r>
        <w:proofErr w:type="spellStart"/>
        <w:r w:rsidR="0004456F" w:rsidRPr="00263E47">
          <w:rPr>
            <w:rStyle w:val="Hyperlink"/>
            <w:rFonts w:ascii="Arial" w:hAnsi="Arial" w:cs="Arial"/>
            <w:b/>
            <w:bCs/>
            <w:sz w:val="32"/>
            <w:szCs w:val="32"/>
            <w:lang w:val="en-US"/>
          </w:rPr>
          <w:t>Ortrun</w:t>
        </w:r>
        <w:proofErr w:type="spellEnd"/>
        <w:r w:rsidR="0004456F" w:rsidRPr="00263E47">
          <w:rPr>
            <w:rStyle w:val="Hyperlink"/>
            <w:rFonts w:ascii="Arial" w:hAnsi="Arial" w:cs="Arial"/>
            <w:b/>
            <w:bCs/>
            <w:sz w:val="32"/>
            <w:szCs w:val="32"/>
            <w:lang w:val="en-US"/>
          </w:rPr>
          <w:t xml:space="preserve"> </w:t>
        </w:r>
        <w:proofErr w:type="spellStart"/>
        <w:r w:rsidR="0004456F" w:rsidRPr="00263E47">
          <w:rPr>
            <w:rStyle w:val="Hyperlink"/>
            <w:rFonts w:ascii="Arial" w:hAnsi="Arial" w:cs="Arial"/>
            <w:b/>
            <w:bCs/>
            <w:sz w:val="32"/>
            <w:szCs w:val="32"/>
            <w:lang w:val="en-US"/>
          </w:rPr>
          <w:t>Zuber-Skerritt</w:t>
        </w:r>
        <w:proofErr w:type="spellEnd"/>
        <w:r w:rsidR="0004456F" w:rsidRPr="00263E47">
          <w:rPr>
            <w:rStyle w:val="Hyperlink"/>
            <w:rFonts w:ascii="Arial" w:hAnsi="Arial" w:cs="Arial"/>
            <w:b/>
            <w:bCs/>
            <w:sz w:val="32"/>
            <w:szCs w:val="32"/>
            <w:lang w:val="en-US"/>
          </w:rPr>
          <w:t>, Margaret Fletcher and Judith Kearney</w:t>
        </w:r>
        <w:r w:rsidR="00295B0C" w:rsidRPr="00263E47">
          <w:rPr>
            <w:rStyle w:val="Hyperlink"/>
            <w:rFonts w:ascii="Arial" w:hAnsi="Arial" w:cs="Arial"/>
            <w:b/>
            <w:bCs/>
            <w:sz w:val="32"/>
            <w:szCs w:val="32"/>
            <w:lang w:val="en-US"/>
          </w:rPr>
          <w:t>’s book</w:t>
        </w:r>
        <w:r w:rsidR="0004456F" w:rsidRPr="00263E47">
          <w:rPr>
            <w:rStyle w:val="Hyperlink"/>
            <w:rFonts w:ascii="Arial" w:hAnsi="Arial" w:cs="Arial"/>
            <w:b/>
            <w:bCs/>
            <w:sz w:val="32"/>
            <w:szCs w:val="32"/>
            <w:lang w:val="en-US"/>
          </w:rPr>
          <w:t xml:space="preserve"> (2015)</w:t>
        </w:r>
        <w:r w:rsidR="002F7458" w:rsidRPr="00263E47">
          <w:rPr>
            <w:rStyle w:val="Hyperlink"/>
            <w:rFonts w:ascii="Arial" w:hAnsi="Arial" w:cs="Arial"/>
            <w:b/>
            <w:bCs/>
            <w:sz w:val="32"/>
            <w:szCs w:val="32"/>
            <w:lang w:val="en-US"/>
          </w:rPr>
          <w:t xml:space="preserve"> </w:t>
        </w:r>
        <w:r w:rsidR="002F7458" w:rsidRPr="00263E47">
          <w:rPr>
            <w:rStyle w:val="Hyperlink"/>
            <w:rFonts w:ascii="Arial" w:hAnsi="Arial" w:cs="Arial"/>
            <w:b/>
            <w:bCs/>
            <w:i/>
            <w:sz w:val="32"/>
            <w:szCs w:val="32"/>
            <w:lang w:val="en-US"/>
          </w:rPr>
          <w:t>“</w:t>
        </w:r>
        <w:r w:rsidR="0004456F" w:rsidRPr="00263E47">
          <w:rPr>
            <w:rStyle w:val="Hyperlink"/>
            <w:rFonts w:ascii="Arial" w:eastAsia="Calibri" w:hAnsi="Arial" w:cs="Calibri"/>
            <w:b/>
            <w:i/>
            <w:sz w:val="32"/>
          </w:rPr>
          <w:t>Professional Learning in Higher Education and Communities: towards a new vision of action research</w:t>
        </w:r>
        <w:r w:rsidR="002F7458" w:rsidRPr="00263E47">
          <w:rPr>
            <w:rStyle w:val="Hyperlink"/>
            <w:rFonts w:ascii="Arial" w:eastAsia="Calibri" w:hAnsi="Arial" w:cs="Calibri"/>
            <w:b/>
            <w:i/>
            <w:sz w:val="32"/>
          </w:rPr>
          <w:t>”</w:t>
        </w:r>
      </w:hyperlink>
      <w:r w:rsidR="00295B0C" w:rsidRPr="001A193A">
        <w:rPr>
          <w:rFonts w:ascii="Arial" w:eastAsia="Calibri" w:hAnsi="Arial" w:cs="Calibri"/>
          <w:b/>
          <w:i/>
          <w:color w:val="4F81BD" w:themeColor="accent1"/>
          <w:sz w:val="32"/>
        </w:rPr>
        <w:t xml:space="preserve"> </w:t>
      </w:r>
      <w:r w:rsidR="00295B0C" w:rsidRPr="002F7458">
        <w:rPr>
          <w:rFonts w:ascii="Arial" w:eastAsia="Calibri" w:hAnsi="Arial" w:cs="Calibri"/>
          <w:sz w:val="32"/>
        </w:rPr>
        <w:t>(pp.</w:t>
      </w:r>
      <w:r w:rsidR="00423F56" w:rsidRPr="002F7458">
        <w:rPr>
          <w:rFonts w:ascii="Arial" w:eastAsia="Calibri" w:hAnsi="Arial" w:cs="Calibri"/>
          <w:sz w:val="32"/>
        </w:rPr>
        <w:t xml:space="preserve"> 119-120</w:t>
      </w:r>
      <w:r w:rsidR="001A193A" w:rsidRPr="002F7458">
        <w:rPr>
          <w:rFonts w:ascii="Arial" w:eastAsia="Calibri" w:hAnsi="Arial" w:cs="Calibri"/>
          <w:sz w:val="32"/>
        </w:rPr>
        <w:t>)</w:t>
      </w:r>
    </w:p>
    <w:p w:rsidR="00295B0C" w:rsidRPr="002F7458" w:rsidRDefault="00295B0C" w:rsidP="00295B0C">
      <w:pPr>
        <w:rPr>
          <w:rFonts w:ascii="Helvetica Neue Light" w:hAnsi="Helvetica Neue Light" w:cs="Helvetica Neue Light"/>
          <w:sz w:val="30"/>
          <w:szCs w:val="30"/>
          <w:lang w:val="en-US"/>
        </w:rPr>
      </w:pPr>
      <w:r w:rsidRPr="002F7458">
        <w:rPr>
          <w:rFonts w:ascii="Arial" w:eastAsia="Calibri" w:hAnsi="Arial" w:cs="Calibri"/>
          <w:i/>
          <w:sz w:val="32"/>
        </w:rPr>
        <w:t>Pip Bruce-Ferguson</w:t>
      </w:r>
      <w:r w:rsidR="0004456F" w:rsidRPr="002F7458">
        <w:rPr>
          <w:rFonts w:ascii="Arial" w:eastAsia="Calibri" w:hAnsi="Arial" w:cs="Calibri"/>
          <w:sz w:val="32"/>
        </w:rPr>
        <w:t xml:space="preserve"> </w:t>
      </w:r>
      <w:r w:rsidR="0004456F" w:rsidRPr="002F7458">
        <w:rPr>
          <w:rFonts w:ascii="Calibri" w:eastAsia="Calibri" w:hAnsi="Calibri" w:cs="Calibri"/>
        </w:rPr>
        <w:t xml:space="preserve"> </w:t>
      </w:r>
    </w:p>
    <w:p w:rsidR="00295B0C" w:rsidRDefault="00295B0C" w:rsidP="00295B0C">
      <w:pPr>
        <w:rPr>
          <w:rFonts w:ascii="Helvetica Neue Light" w:hAnsi="Helvetica Neue Light" w:cs="Helvetica Neue Light"/>
          <w:color w:val="2A2A2A"/>
          <w:sz w:val="30"/>
          <w:szCs w:val="30"/>
          <w:lang w:val="en-US"/>
        </w:rPr>
      </w:pPr>
    </w:p>
    <w:p w:rsidR="004A1E2B" w:rsidRPr="002F7458" w:rsidRDefault="00263E47" w:rsidP="00295B0C">
      <w:pPr>
        <w:rPr>
          <w:rFonts w:ascii="Arial" w:eastAsia="Calibri" w:hAnsi="Arial" w:cs="Calibri"/>
          <w:b/>
          <w:color w:val="4F81BD" w:themeColor="accent1"/>
          <w:sz w:val="32"/>
        </w:rPr>
      </w:pPr>
      <w:hyperlink r:id="rId11" w:history="1">
        <w:r w:rsidR="001A193A" w:rsidRPr="00263E47">
          <w:rPr>
            <w:rStyle w:val="Hyperlink"/>
            <w:rFonts w:ascii="Arial" w:eastAsia="Calibri" w:hAnsi="Arial" w:cs="Calibri"/>
            <w:b/>
            <w:sz w:val="32"/>
          </w:rPr>
          <w:t xml:space="preserve">Review of Daniel </w:t>
        </w:r>
        <w:proofErr w:type="spellStart"/>
        <w:r w:rsidR="001A193A" w:rsidRPr="00263E47">
          <w:rPr>
            <w:rStyle w:val="Hyperlink"/>
            <w:rFonts w:ascii="Arial" w:eastAsia="Calibri" w:hAnsi="Arial" w:cs="Calibri"/>
            <w:b/>
            <w:sz w:val="32"/>
          </w:rPr>
          <w:t>Kahneman’s</w:t>
        </w:r>
        <w:proofErr w:type="spellEnd"/>
        <w:r w:rsidR="001A193A" w:rsidRPr="00263E47">
          <w:rPr>
            <w:rStyle w:val="Hyperlink"/>
            <w:rFonts w:ascii="Arial" w:eastAsia="Calibri" w:hAnsi="Arial" w:cs="Calibri"/>
            <w:b/>
            <w:sz w:val="32"/>
          </w:rPr>
          <w:t xml:space="preserve"> book (2013)</w:t>
        </w:r>
        <w:r w:rsidR="001A193A" w:rsidRPr="00263E47">
          <w:rPr>
            <w:rStyle w:val="Hyperlink"/>
            <w:rFonts w:ascii="Arial" w:eastAsia="Calibri" w:hAnsi="Arial" w:cs="Calibri"/>
            <w:b/>
            <w:i/>
            <w:sz w:val="32"/>
          </w:rPr>
          <w:t xml:space="preserve"> </w:t>
        </w:r>
        <w:r w:rsidR="002F7458" w:rsidRPr="00263E47">
          <w:rPr>
            <w:rStyle w:val="Hyperlink"/>
            <w:rFonts w:ascii="Arial" w:eastAsia="Calibri" w:hAnsi="Arial" w:cs="Calibri"/>
            <w:b/>
            <w:i/>
            <w:sz w:val="32"/>
          </w:rPr>
          <w:t>“</w:t>
        </w:r>
        <w:r w:rsidR="00295B0C" w:rsidRPr="00263E47">
          <w:rPr>
            <w:rStyle w:val="Hyperlink"/>
            <w:rFonts w:ascii="Arial" w:eastAsia="Calibri" w:hAnsi="Arial" w:cs="Calibri"/>
            <w:b/>
            <w:i/>
            <w:sz w:val="32"/>
          </w:rPr>
          <w:t>Thinking, Fast and Slow</w:t>
        </w:r>
        <w:r w:rsidR="002F7458" w:rsidRPr="00263E47">
          <w:rPr>
            <w:rStyle w:val="Hyperlink"/>
            <w:rFonts w:ascii="Arial" w:eastAsia="Calibri" w:hAnsi="Arial" w:cs="Calibri"/>
            <w:b/>
            <w:i/>
            <w:sz w:val="32"/>
          </w:rPr>
          <w:t>”</w:t>
        </w:r>
        <w:r w:rsidR="00423F56" w:rsidRPr="00263E47">
          <w:rPr>
            <w:rStyle w:val="Hyperlink"/>
            <w:rFonts w:ascii="Arial" w:eastAsia="Calibri" w:hAnsi="Arial" w:cs="Calibri"/>
            <w:b/>
            <w:sz w:val="32"/>
          </w:rPr>
          <w:t xml:space="preserve"> </w:t>
        </w:r>
      </w:hyperlink>
      <w:r w:rsidR="002F7458">
        <w:rPr>
          <w:rFonts w:ascii="Arial" w:eastAsia="Calibri" w:hAnsi="Arial" w:cs="Calibri"/>
          <w:b/>
          <w:color w:val="4F81BD" w:themeColor="accent1"/>
          <w:sz w:val="32"/>
        </w:rPr>
        <w:t xml:space="preserve"> (</w:t>
      </w:r>
      <w:r w:rsidR="00423F56" w:rsidRPr="002F7458">
        <w:rPr>
          <w:rFonts w:ascii="Arial" w:eastAsia="Calibri" w:hAnsi="Arial" w:cs="Calibri"/>
          <w:sz w:val="32"/>
        </w:rPr>
        <w:t>pp. 121-122</w:t>
      </w:r>
      <w:r w:rsidR="001A193A" w:rsidRPr="002F7458">
        <w:rPr>
          <w:rFonts w:ascii="Arial" w:eastAsia="Calibri" w:hAnsi="Arial" w:cs="Calibri"/>
          <w:sz w:val="32"/>
        </w:rPr>
        <w:t xml:space="preserve">) </w:t>
      </w:r>
    </w:p>
    <w:p w:rsidR="00295B0C" w:rsidRPr="002F7458" w:rsidRDefault="002F7458" w:rsidP="00295B0C">
      <w:pPr>
        <w:rPr>
          <w:rFonts w:ascii="Arial" w:eastAsia="Calibri" w:hAnsi="Arial" w:cs="Calibri"/>
          <w:i/>
          <w:sz w:val="32"/>
        </w:rPr>
      </w:pPr>
      <w:r w:rsidRPr="002F7458">
        <w:rPr>
          <w:rFonts w:ascii="Arial" w:eastAsia="Calibri" w:hAnsi="Arial" w:cs="Calibri"/>
          <w:i/>
          <w:sz w:val="32"/>
        </w:rPr>
        <w:t>Jacqueline Delong</w:t>
      </w:r>
    </w:p>
    <w:p w:rsidR="00295B0C" w:rsidRDefault="00295B0C" w:rsidP="00295B0C">
      <w:pPr>
        <w:rPr>
          <w:rFonts w:ascii="Calibri" w:eastAsia="Calibri" w:hAnsi="Calibri" w:cs="Calibri"/>
        </w:rPr>
      </w:pPr>
    </w:p>
    <w:p w:rsidR="00295B0C" w:rsidRDefault="00295B0C" w:rsidP="00295B0C">
      <w:pPr>
        <w:rPr>
          <w:rFonts w:ascii="Helvetica Neue Light" w:hAnsi="Helvetica Neue Light" w:cs="Helvetica Neue Light"/>
          <w:color w:val="2A2A2A"/>
          <w:sz w:val="30"/>
          <w:szCs w:val="30"/>
          <w:lang w:val="en-US"/>
        </w:rPr>
      </w:pPr>
    </w:p>
    <w:p w:rsidR="00295B0C" w:rsidRPr="004A1E2B" w:rsidRDefault="00263E47" w:rsidP="00295B0C">
      <w:pPr>
        <w:rPr>
          <w:rFonts w:ascii="Arial" w:eastAsia="Calibri" w:hAnsi="Arial" w:cs="Calibri"/>
          <w:b/>
          <w:color w:val="4F81BD" w:themeColor="accent1"/>
          <w:sz w:val="32"/>
        </w:rPr>
      </w:pPr>
      <w:hyperlink r:id="rId12" w:history="1">
        <w:r w:rsidR="004A1E2B" w:rsidRPr="00263E47">
          <w:rPr>
            <w:rStyle w:val="Hyperlink"/>
            <w:rFonts w:ascii="Arial" w:eastAsia="Calibri" w:hAnsi="Arial" w:cs="Calibri"/>
            <w:b/>
            <w:sz w:val="32"/>
          </w:rPr>
          <w:t xml:space="preserve">Review of Steven Coombs, Mark Potts and Jack Whitehead’s book on; </w:t>
        </w:r>
        <w:r w:rsidR="000C44DE" w:rsidRPr="00263E47">
          <w:rPr>
            <w:rStyle w:val="Hyperlink"/>
            <w:rFonts w:ascii="Arial" w:eastAsia="Calibri" w:hAnsi="Arial" w:cs="Calibri"/>
            <w:b/>
            <w:sz w:val="32"/>
          </w:rPr>
          <w:t>“</w:t>
        </w:r>
        <w:r w:rsidR="004A1E2B" w:rsidRPr="00263E47">
          <w:rPr>
            <w:rStyle w:val="Hyperlink"/>
            <w:rFonts w:ascii="Arial" w:hAnsi="Arial" w:cs="Times"/>
            <w:b/>
            <w:sz w:val="32"/>
            <w:szCs w:val="30"/>
            <w:lang w:val="en-US"/>
          </w:rPr>
          <w:t>International Educational Development and Learning through Sustainable</w:t>
        </w:r>
        <w:r w:rsidR="00295B0C" w:rsidRPr="00263E47">
          <w:rPr>
            <w:rStyle w:val="Hyperlink"/>
            <w:rFonts w:ascii="Arial" w:eastAsia="Calibri" w:hAnsi="Arial" w:cs="Calibri"/>
            <w:b/>
            <w:sz w:val="32"/>
          </w:rPr>
          <w:t>Partnerships – Living Global Citizenship</w:t>
        </w:r>
        <w:r w:rsidR="002F7458" w:rsidRPr="00263E47">
          <w:rPr>
            <w:rStyle w:val="Hyperlink"/>
            <w:rFonts w:ascii="Arial" w:eastAsia="Calibri" w:hAnsi="Arial" w:cs="Calibri"/>
            <w:b/>
            <w:sz w:val="32"/>
          </w:rPr>
          <w:t>.</w:t>
        </w:r>
        <w:r w:rsidR="000C44DE" w:rsidRPr="00263E47">
          <w:rPr>
            <w:rStyle w:val="Hyperlink"/>
            <w:rFonts w:ascii="Arial" w:eastAsia="Calibri" w:hAnsi="Arial" w:cs="Calibri"/>
            <w:b/>
            <w:sz w:val="32"/>
          </w:rPr>
          <w:t>”</w:t>
        </w:r>
      </w:hyperlink>
      <w:r w:rsidR="003820ED">
        <w:rPr>
          <w:rFonts w:ascii="Arial" w:eastAsia="Calibri" w:hAnsi="Arial" w:cs="Calibri"/>
          <w:b/>
          <w:color w:val="4F81BD" w:themeColor="accent1"/>
          <w:sz w:val="32"/>
        </w:rPr>
        <w:t xml:space="preserve"> </w:t>
      </w:r>
      <w:r w:rsidR="003820ED" w:rsidRPr="002F7458">
        <w:rPr>
          <w:rFonts w:ascii="Arial" w:eastAsia="Calibri" w:hAnsi="Arial" w:cs="Calibri"/>
          <w:sz w:val="32"/>
        </w:rPr>
        <w:t>(</w:t>
      </w:r>
      <w:proofErr w:type="gramStart"/>
      <w:r w:rsidR="003820ED" w:rsidRPr="002F7458">
        <w:rPr>
          <w:rFonts w:ascii="Arial" w:eastAsia="Calibri" w:hAnsi="Arial" w:cs="Calibri"/>
          <w:sz w:val="32"/>
        </w:rPr>
        <w:t>pp</w:t>
      </w:r>
      <w:proofErr w:type="gramEnd"/>
      <w:r w:rsidR="003820ED" w:rsidRPr="002F7458">
        <w:rPr>
          <w:rFonts w:ascii="Arial" w:eastAsia="Calibri" w:hAnsi="Arial" w:cs="Calibri"/>
          <w:sz w:val="32"/>
        </w:rPr>
        <w:t>. 123-124</w:t>
      </w:r>
      <w:r w:rsidR="004A1E2B" w:rsidRPr="002F7458">
        <w:rPr>
          <w:rFonts w:ascii="Arial" w:eastAsia="Calibri" w:hAnsi="Arial" w:cs="Calibri"/>
          <w:sz w:val="32"/>
        </w:rPr>
        <w:t>)</w:t>
      </w:r>
    </w:p>
    <w:p w:rsidR="00295B0C" w:rsidRPr="002F7458" w:rsidRDefault="004A1E2B" w:rsidP="00295B0C">
      <w:pPr>
        <w:rPr>
          <w:rFonts w:ascii="Arial" w:eastAsia="Calibri" w:hAnsi="Arial" w:cs="Calibri"/>
          <w:i/>
          <w:sz w:val="32"/>
        </w:rPr>
      </w:pPr>
      <w:r w:rsidRPr="002F7458">
        <w:rPr>
          <w:rFonts w:ascii="Arial" w:eastAsia="Calibri" w:hAnsi="Arial" w:cs="Calibri"/>
          <w:i/>
          <w:sz w:val="32"/>
        </w:rPr>
        <w:t>Pete</w:t>
      </w:r>
      <w:r w:rsidR="00295B0C" w:rsidRPr="002F7458">
        <w:rPr>
          <w:rFonts w:ascii="Arial" w:eastAsia="Calibri" w:hAnsi="Arial" w:cs="Calibri"/>
          <w:i/>
          <w:sz w:val="32"/>
        </w:rPr>
        <w:t xml:space="preserve">r </w:t>
      </w:r>
      <w:proofErr w:type="spellStart"/>
      <w:r w:rsidR="00295B0C" w:rsidRPr="002F7458">
        <w:rPr>
          <w:rFonts w:ascii="Arial" w:eastAsia="Calibri" w:hAnsi="Arial" w:cs="Calibri"/>
          <w:i/>
          <w:sz w:val="32"/>
        </w:rPr>
        <w:t>Mellett</w:t>
      </w:r>
      <w:proofErr w:type="spellEnd"/>
      <w:r w:rsidR="00295B0C" w:rsidRPr="002F7458">
        <w:rPr>
          <w:rFonts w:ascii="Arial" w:eastAsia="Calibri" w:hAnsi="Arial" w:cs="Calibri"/>
          <w:i/>
          <w:sz w:val="32"/>
        </w:rPr>
        <w:t xml:space="preserve"> </w:t>
      </w:r>
    </w:p>
    <w:p w:rsidR="00295B0C" w:rsidRDefault="00295B0C" w:rsidP="00295B0C">
      <w:pPr>
        <w:rPr>
          <w:rFonts w:ascii="Helvetica Neue Light" w:hAnsi="Helvetica Neue Light" w:cs="Helvetica Neue Light"/>
          <w:color w:val="2A2A2A"/>
          <w:sz w:val="30"/>
          <w:szCs w:val="30"/>
          <w:lang w:val="en-US"/>
        </w:rPr>
      </w:pPr>
    </w:p>
    <w:p w:rsidR="00295B0C" w:rsidRPr="002F7458" w:rsidRDefault="00263E47" w:rsidP="00295B0C">
      <w:pPr>
        <w:outlineLvl w:val="0"/>
        <w:rPr>
          <w:rFonts w:ascii="Arial" w:hAnsi="Arial" w:cs="Arial"/>
          <w:b/>
          <w:color w:val="4F81BD" w:themeColor="accent1"/>
          <w:sz w:val="32"/>
          <w:szCs w:val="32"/>
        </w:rPr>
      </w:pPr>
      <w:hyperlink r:id="rId13" w:history="1">
        <w:r w:rsidR="00295B0C" w:rsidRPr="00263E47">
          <w:rPr>
            <w:rStyle w:val="Hyperlink"/>
            <w:rFonts w:ascii="Arial" w:hAnsi="Arial" w:cs="Arial"/>
            <w:b/>
            <w:sz w:val="32"/>
            <w:szCs w:val="32"/>
          </w:rPr>
          <w:t>Review of Jen Vickers-</w:t>
        </w:r>
        <w:proofErr w:type="spellStart"/>
        <w:r w:rsidR="00295B0C" w:rsidRPr="00263E47">
          <w:rPr>
            <w:rStyle w:val="Hyperlink"/>
            <w:rFonts w:ascii="Arial" w:hAnsi="Arial" w:cs="Arial"/>
            <w:b/>
            <w:sz w:val="32"/>
            <w:szCs w:val="32"/>
          </w:rPr>
          <w:t>Manzin</w:t>
        </w:r>
        <w:proofErr w:type="spellEnd"/>
        <w:r w:rsidR="00295B0C" w:rsidRPr="00263E47">
          <w:rPr>
            <w:rStyle w:val="Hyperlink"/>
            <w:rFonts w:ascii="Arial" w:hAnsi="Arial" w:cs="Arial"/>
            <w:b/>
            <w:sz w:val="32"/>
            <w:szCs w:val="32"/>
          </w:rPr>
          <w:t xml:space="preserve"> and Jan Johnston’s M.Ed. dissertation, </w:t>
        </w:r>
        <w:r w:rsidR="004A1E2B" w:rsidRPr="00263E47">
          <w:rPr>
            <w:rStyle w:val="Hyperlink"/>
            <w:rFonts w:ascii="Arial" w:hAnsi="Arial" w:cs="Arial"/>
            <w:b/>
            <w:sz w:val="32"/>
            <w:szCs w:val="32"/>
          </w:rPr>
          <w:t>“</w:t>
        </w:r>
        <w:r w:rsidR="00295B0C" w:rsidRPr="00263E47">
          <w:rPr>
            <w:rStyle w:val="Hyperlink"/>
            <w:rFonts w:ascii="Arial" w:hAnsi="Arial" w:cs="Arial"/>
            <w:b/>
            <w:sz w:val="32"/>
            <w:szCs w:val="32"/>
          </w:rPr>
          <w:t xml:space="preserve">A Living Educational Theory of Knowledge Translation: Improving Practice, Influencing Learners, and Contributing to </w:t>
        </w:r>
        <w:r w:rsidR="004A1E2B" w:rsidRPr="00263E47">
          <w:rPr>
            <w:rStyle w:val="Hyperlink"/>
            <w:rFonts w:ascii="Arial" w:hAnsi="Arial" w:cs="Arial"/>
            <w:b/>
            <w:sz w:val="32"/>
            <w:szCs w:val="32"/>
          </w:rPr>
          <w:t>the Professional Knowledge Base</w:t>
        </w:r>
        <w:r w:rsidR="002F7458" w:rsidRPr="00263E47">
          <w:rPr>
            <w:rStyle w:val="Hyperlink"/>
            <w:rFonts w:ascii="Arial" w:hAnsi="Arial" w:cs="Arial"/>
            <w:b/>
            <w:sz w:val="32"/>
            <w:szCs w:val="32"/>
          </w:rPr>
          <w:t>.</w:t>
        </w:r>
        <w:r w:rsidR="004A1E2B" w:rsidRPr="00263E47">
          <w:rPr>
            <w:rStyle w:val="Hyperlink"/>
            <w:rFonts w:ascii="Arial" w:hAnsi="Arial" w:cs="Arial"/>
            <w:b/>
            <w:sz w:val="32"/>
            <w:szCs w:val="32"/>
          </w:rPr>
          <w:t>”</w:t>
        </w:r>
      </w:hyperlink>
      <w:r w:rsidR="003820ED">
        <w:rPr>
          <w:rFonts w:ascii="Arial" w:hAnsi="Arial" w:cs="Arial"/>
          <w:b/>
          <w:color w:val="4F81BD" w:themeColor="accent1"/>
          <w:sz w:val="32"/>
          <w:szCs w:val="32"/>
        </w:rPr>
        <w:t xml:space="preserve"> </w:t>
      </w:r>
      <w:r w:rsidR="003820ED" w:rsidRPr="002F7458">
        <w:rPr>
          <w:rFonts w:ascii="Arial" w:hAnsi="Arial" w:cs="Arial"/>
          <w:sz w:val="32"/>
          <w:szCs w:val="32"/>
        </w:rPr>
        <w:t>(</w:t>
      </w:r>
      <w:proofErr w:type="gramStart"/>
      <w:r w:rsidR="003820ED" w:rsidRPr="002F7458">
        <w:rPr>
          <w:rFonts w:ascii="Arial" w:hAnsi="Arial" w:cs="Arial"/>
          <w:sz w:val="32"/>
          <w:szCs w:val="32"/>
        </w:rPr>
        <w:t>pp</w:t>
      </w:r>
      <w:proofErr w:type="gramEnd"/>
      <w:r w:rsidR="003820ED" w:rsidRPr="002F7458">
        <w:rPr>
          <w:rFonts w:ascii="Arial" w:hAnsi="Arial" w:cs="Arial"/>
          <w:sz w:val="32"/>
          <w:szCs w:val="32"/>
        </w:rPr>
        <w:t>. 125-128</w:t>
      </w:r>
      <w:r w:rsidR="002F7458">
        <w:rPr>
          <w:rFonts w:ascii="Arial" w:hAnsi="Arial" w:cs="Arial"/>
          <w:sz w:val="32"/>
          <w:szCs w:val="32"/>
        </w:rPr>
        <w:t>)</w:t>
      </w:r>
    </w:p>
    <w:p w:rsidR="00295B0C" w:rsidRPr="002F7458" w:rsidRDefault="00295B0C" w:rsidP="00295B0C">
      <w:pPr>
        <w:outlineLvl w:val="0"/>
        <w:rPr>
          <w:rFonts w:ascii="Arial" w:hAnsi="Arial" w:cs="Arial"/>
          <w:i/>
          <w:sz w:val="32"/>
          <w:szCs w:val="32"/>
        </w:rPr>
      </w:pPr>
      <w:r w:rsidRPr="002F7458">
        <w:rPr>
          <w:rFonts w:ascii="Arial" w:hAnsi="Arial" w:cs="Arial"/>
          <w:i/>
          <w:sz w:val="32"/>
          <w:szCs w:val="32"/>
        </w:rPr>
        <w:t>Jacqueline Delong</w:t>
      </w:r>
    </w:p>
    <w:p w:rsidR="00295B0C" w:rsidRDefault="00295B0C" w:rsidP="00295B0C">
      <w:pPr>
        <w:outlineLvl w:val="0"/>
        <w:rPr>
          <w:rFonts w:cs="Arial"/>
          <w:b/>
          <w:sz w:val="32"/>
          <w:szCs w:val="32"/>
        </w:rPr>
      </w:pPr>
    </w:p>
    <w:p w:rsidR="00295B0C" w:rsidRPr="002F7458" w:rsidRDefault="00263E47" w:rsidP="00295B0C">
      <w:pPr>
        <w:outlineLvl w:val="0"/>
        <w:rPr>
          <w:rFonts w:ascii="Arial" w:hAnsi="Arial" w:cs="Arial"/>
          <w:b/>
          <w:color w:val="4F81BD" w:themeColor="accent1"/>
          <w:sz w:val="32"/>
          <w:szCs w:val="32"/>
        </w:rPr>
      </w:pPr>
      <w:hyperlink r:id="rId14" w:history="1">
        <w:r w:rsidR="00295B0C" w:rsidRPr="00263E47">
          <w:rPr>
            <w:rStyle w:val="Hyperlink"/>
            <w:rFonts w:ascii="Arial" w:hAnsi="Arial" w:cs="Arial"/>
            <w:b/>
            <w:sz w:val="32"/>
            <w:szCs w:val="32"/>
          </w:rPr>
          <w:t xml:space="preserve">Review of Jacqueline Elizabeth (Liz) </w:t>
        </w:r>
        <w:proofErr w:type="spellStart"/>
        <w:r w:rsidR="00295B0C" w:rsidRPr="00263E47">
          <w:rPr>
            <w:rStyle w:val="Hyperlink"/>
            <w:rFonts w:ascii="Arial" w:hAnsi="Arial" w:cs="Arial"/>
            <w:b/>
            <w:sz w:val="32"/>
            <w:szCs w:val="32"/>
          </w:rPr>
          <w:t>Wolvaardt’s</w:t>
        </w:r>
        <w:proofErr w:type="spellEnd"/>
        <w:r w:rsidR="00295B0C" w:rsidRPr="00263E47">
          <w:rPr>
            <w:rStyle w:val="Hyperlink"/>
            <w:rFonts w:ascii="Arial" w:hAnsi="Arial" w:cs="Arial"/>
            <w:b/>
            <w:sz w:val="32"/>
            <w:szCs w:val="32"/>
          </w:rPr>
          <w:t xml:space="preserve"> Ph.D. thesis, </w:t>
        </w:r>
        <w:r w:rsidR="004A1E2B" w:rsidRPr="00263E47">
          <w:rPr>
            <w:rStyle w:val="Hyperlink"/>
            <w:rFonts w:ascii="Arial" w:hAnsi="Arial" w:cs="Arial"/>
            <w:b/>
            <w:sz w:val="32"/>
            <w:szCs w:val="32"/>
          </w:rPr>
          <w:t>“</w:t>
        </w:r>
        <w:r w:rsidR="00295B0C" w:rsidRPr="00263E47">
          <w:rPr>
            <w:rStyle w:val="Hyperlink"/>
            <w:rFonts w:ascii="Arial" w:hAnsi="Arial" w:cs="Arial"/>
            <w:b/>
            <w:sz w:val="32"/>
            <w:szCs w:val="32"/>
          </w:rPr>
          <w:t>Over The Conceptual Horizon Of Public Health: A Living Theory Of Teaching Undergraduate Medical Students.</w:t>
        </w:r>
        <w:r w:rsidR="004A1E2B" w:rsidRPr="00263E47">
          <w:rPr>
            <w:rStyle w:val="Hyperlink"/>
            <w:rFonts w:ascii="Arial" w:hAnsi="Arial" w:cs="Arial"/>
            <w:b/>
            <w:sz w:val="32"/>
            <w:szCs w:val="32"/>
          </w:rPr>
          <w:t>”</w:t>
        </w:r>
      </w:hyperlink>
      <w:r w:rsidR="003820ED">
        <w:rPr>
          <w:rFonts w:ascii="Arial" w:hAnsi="Arial" w:cs="Arial"/>
          <w:b/>
          <w:color w:val="4F81BD" w:themeColor="accent1"/>
          <w:sz w:val="32"/>
          <w:szCs w:val="32"/>
        </w:rPr>
        <w:t xml:space="preserve"> </w:t>
      </w:r>
      <w:r w:rsidR="003820ED" w:rsidRPr="002F7458">
        <w:rPr>
          <w:rFonts w:ascii="Arial" w:hAnsi="Arial" w:cs="Arial"/>
          <w:sz w:val="32"/>
          <w:szCs w:val="32"/>
        </w:rPr>
        <w:t>(</w:t>
      </w:r>
      <w:proofErr w:type="gramStart"/>
      <w:r w:rsidR="003820ED" w:rsidRPr="002F7458">
        <w:rPr>
          <w:rFonts w:ascii="Arial" w:hAnsi="Arial" w:cs="Arial"/>
          <w:sz w:val="32"/>
          <w:szCs w:val="32"/>
        </w:rPr>
        <w:t>pp</w:t>
      </w:r>
      <w:proofErr w:type="gramEnd"/>
      <w:r w:rsidR="003820ED" w:rsidRPr="002F7458">
        <w:rPr>
          <w:rFonts w:ascii="Arial" w:hAnsi="Arial" w:cs="Arial"/>
          <w:sz w:val="32"/>
          <w:szCs w:val="32"/>
        </w:rPr>
        <w:t>. 129-130</w:t>
      </w:r>
      <w:r w:rsidR="004A1E2B" w:rsidRPr="002F7458">
        <w:rPr>
          <w:rFonts w:ascii="Arial" w:hAnsi="Arial" w:cs="Arial"/>
          <w:sz w:val="32"/>
          <w:szCs w:val="32"/>
        </w:rPr>
        <w:t>)</w:t>
      </w:r>
    </w:p>
    <w:p w:rsidR="00295B0C" w:rsidRPr="002F7458" w:rsidRDefault="00295B0C" w:rsidP="00295B0C">
      <w:pPr>
        <w:outlineLvl w:val="0"/>
        <w:rPr>
          <w:rFonts w:ascii="Arial" w:hAnsi="Arial" w:cs="Arial"/>
          <w:b/>
          <w:i/>
          <w:sz w:val="32"/>
          <w:szCs w:val="32"/>
        </w:rPr>
      </w:pPr>
      <w:r w:rsidRPr="002F7458">
        <w:rPr>
          <w:rFonts w:ascii="Arial" w:hAnsi="Arial" w:cs="Arial"/>
          <w:i/>
          <w:sz w:val="32"/>
          <w:szCs w:val="28"/>
        </w:rPr>
        <w:t>Jack Whitehead</w:t>
      </w:r>
    </w:p>
    <w:p w:rsidR="00295B0C" w:rsidRDefault="00295B0C" w:rsidP="00295B0C">
      <w:r>
        <w:t xml:space="preserve"> </w:t>
      </w:r>
    </w:p>
    <w:p w:rsidR="00295B0C" w:rsidRDefault="00295B0C" w:rsidP="00295B0C"/>
    <w:p w:rsidR="00295B0C" w:rsidRPr="002F7458" w:rsidRDefault="00263E47" w:rsidP="00295B0C">
      <w:pPr>
        <w:rPr>
          <w:rFonts w:ascii="Arial" w:eastAsia="Cambria" w:hAnsi="Arial" w:cs="Times New Roman"/>
          <w:b/>
          <w:color w:val="4F81BD" w:themeColor="accent1"/>
          <w:sz w:val="32"/>
        </w:rPr>
      </w:pPr>
      <w:hyperlink r:id="rId15" w:history="1">
        <w:r w:rsidR="00295B0C" w:rsidRPr="00263E47">
          <w:rPr>
            <w:rStyle w:val="Hyperlink"/>
            <w:rFonts w:ascii="Arial" w:eastAsia="Cambria" w:hAnsi="Arial" w:cs="Arial"/>
            <w:b/>
            <w:sz w:val="32"/>
            <w:szCs w:val="32"/>
          </w:rPr>
          <w:t xml:space="preserve">Review of Robyn Pound’s PhD </w:t>
        </w:r>
        <w:r w:rsidR="00295B0C" w:rsidRPr="00263E47">
          <w:rPr>
            <w:rStyle w:val="Hyperlink"/>
            <w:rFonts w:ascii="Arial" w:eastAsia="Cambria" w:hAnsi="Arial" w:cs="Times New Roman"/>
            <w:b/>
            <w:sz w:val="32"/>
          </w:rPr>
          <w:t xml:space="preserve">thesis </w:t>
        </w:r>
        <w:r w:rsidR="004A1E2B" w:rsidRPr="00263E47">
          <w:rPr>
            <w:rStyle w:val="Hyperlink"/>
            <w:rFonts w:ascii="Arial" w:eastAsia="Cambria" w:hAnsi="Arial" w:cs="Times New Roman"/>
            <w:b/>
            <w:sz w:val="32"/>
          </w:rPr>
          <w:t>“</w:t>
        </w:r>
        <w:r w:rsidR="00295B0C" w:rsidRPr="00263E47">
          <w:rPr>
            <w:rStyle w:val="Hyperlink"/>
            <w:rFonts w:ascii="Arial" w:eastAsia="Cambria" w:hAnsi="Arial" w:cs="Times New Roman"/>
            <w:b/>
            <w:sz w:val="32"/>
          </w:rPr>
          <w:t>How can I improve my health visiting support of parenting? The creation of an alongside epistemology through action enquiry</w:t>
        </w:r>
        <w:r w:rsidR="004A1E2B" w:rsidRPr="00263E47">
          <w:rPr>
            <w:rStyle w:val="Hyperlink"/>
            <w:rFonts w:ascii="Arial" w:eastAsia="Cambria" w:hAnsi="Arial" w:cs="Times New Roman"/>
            <w:b/>
            <w:sz w:val="32"/>
          </w:rPr>
          <w:t>.”</w:t>
        </w:r>
      </w:hyperlink>
      <w:r w:rsidR="009E18EF">
        <w:rPr>
          <w:rFonts w:ascii="Arial" w:eastAsia="Cambria" w:hAnsi="Arial" w:cs="Times New Roman"/>
          <w:b/>
          <w:color w:val="4F81BD" w:themeColor="accent1"/>
          <w:sz w:val="32"/>
        </w:rPr>
        <w:t xml:space="preserve"> </w:t>
      </w:r>
      <w:r w:rsidR="00983F51">
        <w:rPr>
          <w:rFonts w:ascii="Arial" w:eastAsia="Cambria" w:hAnsi="Arial" w:cs="Times New Roman"/>
          <w:sz w:val="32"/>
        </w:rPr>
        <w:t>(</w:t>
      </w:r>
      <w:proofErr w:type="gramStart"/>
      <w:r w:rsidR="00983F51">
        <w:rPr>
          <w:rFonts w:ascii="Arial" w:eastAsia="Cambria" w:hAnsi="Arial" w:cs="Times New Roman"/>
          <w:sz w:val="32"/>
        </w:rPr>
        <w:t>pp</w:t>
      </w:r>
      <w:proofErr w:type="gramEnd"/>
      <w:r w:rsidR="00983F51">
        <w:rPr>
          <w:rFonts w:ascii="Arial" w:eastAsia="Cambria" w:hAnsi="Arial" w:cs="Times New Roman"/>
          <w:sz w:val="32"/>
        </w:rPr>
        <w:t>. 131-133</w:t>
      </w:r>
      <w:r w:rsidR="004A1E2B" w:rsidRPr="002F7458">
        <w:rPr>
          <w:rFonts w:ascii="Arial" w:eastAsia="Cambria" w:hAnsi="Arial" w:cs="Times New Roman"/>
          <w:sz w:val="32"/>
        </w:rPr>
        <w:t>)</w:t>
      </w:r>
    </w:p>
    <w:p w:rsidR="00295B0C" w:rsidRPr="002F7458" w:rsidRDefault="00295B0C" w:rsidP="00295B0C">
      <w:pPr>
        <w:rPr>
          <w:rFonts w:ascii="Arial" w:eastAsia="Cambria" w:hAnsi="Arial" w:cs="Arial"/>
          <w:i/>
          <w:sz w:val="32"/>
          <w:szCs w:val="28"/>
        </w:rPr>
      </w:pPr>
      <w:r w:rsidRPr="002F7458">
        <w:rPr>
          <w:rFonts w:ascii="Arial" w:eastAsia="Cambria" w:hAnsi="Arial" w:cs="Arial"/>
          <w:i/>
          <w:sz w:val="32"/>
          <w:szCs w:val="28"/>
        </w:rPr>
        <w:t>Moira Laidlaw</w:t>
      </w:r>
      <w:r w:rsidR="004A1E2B" w:rsidRPr="002F7458">
        <w:rPr>
          <w:rFonts w:ascii="Arial" w:hAnsi="Arial" w:cs="Arial"/>
          <w:i/>
          <w:sz w:val="32"/>
          <w:szCs w:val="28"/>
        </w:rPr>
        <w:t xml:space="preserve"> </w:t>
      </w:r>
    </w:p>
    <w:p w:rsidR="00295B0C" w:rsidRPr="004A1E2B" w:rsidRDefault="00295B0C" w:rsidP="00295B0C">
      <w:pPr>
        <w:rPr>
          <w:rFonts w:ascii="Arial" w:hAnsi="Arial"/>
          <w:color w:val="4F81BD" w:themeColor="accent1"/>
          <w:sz w:val="32"/>
        </w:rPr>
      </w:pPr>
    </w:p>
    <w:sectPr w:rsidR="00295B0C" w:rsidRPr="004A1E2B" w:rsidSect="008943D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 Light">
    <w:panose1 w:val="020004030000000200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943D3"/>
    <w:rsid w:val="0004456F"/>
    <w:rsid w:val="000C44DE"/>
    <w:rsid w:val="00194678"/>
    <w:rsid w:val="001A193A"/>
    <w:rsid w:val="00263E47"/>
    <w:rsid w:val="002732F3"/>
    <w:rsid w:val="00287DA1"/>
    <w:rsid w:val="00295B0C"/>
    <w:rsid w:val="002F7458"/>
    <w:rsid w:val="0036114D"/>
    <w:rsid w:val="003820ED"/>
    <w:rsid w:val="004142AE"/>
    <w:rsid w:val="00423F56"/>
    <w:rsid w:val="00455066"/>
    <w:rsid w:val="004A1E2B"/>
    <w:rsid w:val="005232F2"/>
    <w:rsid w:val="006C6560"/>
    <w:rsid w:val="00766D42"/>
    <w:rsid w:val="007B789F"/>
    <w:rsid w:val="008943D3"/>
    <w:rsid w:val="00936735"/>
    <w:rsid w:val="00936828"/>
    <w:rsid w:val="00983F51"/>
    <w:rsid w:val="009C3B74"/>
    <w:rsid w:val="009E18EF"/>
    <w:rsid w:val="00DB0CE4"/>
    <w:rsid w:val="00EB1A27"/>
    <w:rsid w:val="00F21CAF"/>
    <w:rsid w:val="00F85454"/>
    <w:rsid w:val="00FD431E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31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1">
    <w:name w:val="Normal1"/>
    <w:rsid w:val="008943D3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63E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ctionresearch.net/writings/ejoltsdec14/238.pdf" TargetMode="External"/><Relationship Id="rId12" Type="http://schemas.openxmlformats.org/officeDocument/2006/relationships/hyperlink" Target="http://www.actionresearch.net/writings/ejoltsdec14/239.pdf" TargetMode="External"/><Relationship Id="rId13" Type="http://schemas.openxmlformats.org/officeDocument/2006/relationships/hyperlink" Target="http://www.actionresearch.net/writings/ejoltsdec14/240.pdf" TargetMode="External"/><Relationship Id="rId14" Type="http://schemas.openxmlformats.org/officeDocument/2006/relationships/hyperlink" Target="http://www.actionresearch.net/writings/ejoltsdec14/241.pdf" TargetMode="External"/><Relationship Id="rId15" Type="http://schemas.openxmlformats.org/officeDocument/2006/relationships/hyperlink" Target="http://www.actionresearch.net/writings/ejoltsdec14/242.pdf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actionresearch.net/writings/ejoltsdec14/231.pdf" TargetMode="External"/><Relationship Id="rId5" Type="http://schemas.openxmlformats.org/officeDocument/2006/relationships/hyperlink" Target="http://www.actionresearch.net/writings/ejoltsdec14/232" TargetMode="External"/><Relationship Id="rId6" Type="http://schemas.openxmlformats.org/officeDocument/2006/relationships/hyperlink" Target="http://www.actionresearch.net/writings/ejoltsdec14/233.pdf" TargetMode="External"/><Relationship Id="rId7" Type="http://schemas.openxmlformats.org/officeDocument/2006/relationships/hyperlink" Target="http://www.actionresearch.net/writings/ejoltsdec14/234.pdf" TargetMode="External"/><Relationship Id="rId8" Type="http://schemas.openxmlformats.org/officeDocument/2006/relationships/hyperlink" Target="http://www.actionresearch.net/writings/ejoltsdec14/235.pdf" TargetMode="External"/><Relationship Id="rId9" Type="http://schemas.openxmlformats.org/officeDocument/2006/relationships/hyperlink" Target="http://www.actionresearch.net/writings/ejoltsdec14/236.pdf" TargetMode="External"/><Relationship Id="rId10" Type="http://schemas.openxmlformats.org/officeDocument/2006/relationships/hyperlink" Target="http://www.actionresearch.net/writings/ejoltsdec14/23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295</Words>
  <Characters>1683</Characters>
  <Application>Microsoft Macintosh Word</Application>
  <DocSecurity>0</DocSecurity>
  <Lines>14</Lines>
  <Paragraphs>3</Paragraphs>
  <ScaleCrop>false</ScaleCrop>
  <Company>University of Bath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Whitehead</dc:creator>
  <cp:keywords/>
  <cp:lastModifiedBy>Jack Whitehead</cp:lastModifiedBy>
  <cp:revision>3</cp:revision>
  <dcterms:created xsi:type="dcterms:W3CDTF">2014-12-19T14:09:00Z</dcterms:created>
  <dcterms:modified xsi:type="dcterms:W3CDTF">2014-12-19T14:40:00Z</dcterms:modified>
</cp:coreProperties>
</file>